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Сведения о наиболее часто встречающихся случаях на</w:t>
      </w:r>
      <w:r>
        <w:rPr>
          <w:rFonts w:eastAsia="Times New Roman"/>
          <w:b/>
          <w:sz w:val="28"/>
          <w:szCs w:val="28"/>
        </w:rPr>
        <w:t xml:space="preserve">рушений обязательных требований.</w:t>
      </w:r>
    </w:p>
    <w:p>
      <w:pPr>
        <w:ind w:left="-566" w:firstLine="709"/>
        <w:jc w:val="both"/>
        <w:rPr>
          <w:rFonts w:eastAsia="Times New Roman"/>
          <w:b/>
          <w:sz w:val="28"/>
          <w:szCs w:val="28"/>
        </w:rPr>
      </w:pPr>
    </w:p>
    <w:p>
      <w:pPr>
        <w:ind w:left="-566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 области персональных данных</w:t>
      </w:r>
    </w:p>
    <w:p>
      <w:pPr>
        <w:pStyle w:val="ConsPlusNormal"/>
        <w:ind w:left="-56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12 (6) плановых проверок, проведенных за 1 полугодие (2 квартал) 2019 года в отношении 12 (6) организаций, в деятельности 10 (5) операторов выявлены нарушения 24 (11) обязательных требований действующего законодательства Российской Федерации в области персональных данных, из них: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 (3) нарушения требований ч. 1 ст. 18.1 Федерального закона от 27.07.2006 №152-ФЗ «О персональных данных»: невыполнение оператором мер, необходимых и достаточных для обеспечения выполнения обязанностей, предусмотренных Федеральным законом от 27 июля 2006 г. №152-ФЗ «О персональных данных»;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 (3) нарушения требований п. 6 постановления Правительства РФ от 15.09.2008 № 687: несоблюдение оператором требований по информированию лиц, осуществляющих обработку персональных данных без использования средств автоматизации;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 (3) нарушения требований ч. 3 ст. 22 Федерального закона от 27.07.2006 № 152-ФЗ «О персональных данных»: представление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уполномоченный</w:t>
      </w:r>
      <w:r>
        <w:rPr>
          <w:sz w:val="28"/>
          <w:szCs w:val="28"/>
        </w:rPr>
        <w:t xml:space="preserve"> орган уведомления об обработке персональных данных, содержащего неполные и (или) недостоверные сведения;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(0) нарушения требований п. 8 ст. 86 Трудового кодекса Российской Федерации: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(1) нарушение требований ч. 4 ст. 9 Федерального закона от 27.07.2006 № 152-ФЗ «О персональных данных»: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(1) нарушение требований ч. 3 ст. 10 Федерального закона от 27.07.2006 №152-ФЗ «О персональных данных»: нарушение оператором обязательных требований при обработке специальных категорий персональных данных (сведения о судимости).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наиболее часто встречающимися нарушениями являются: невыполнение оператором мер, необходимых и достаточных для обеспечения выполнения обязанностей, предусмотренных Федеральным законом от 27.07.2006 №152-ФЗ «О персональных данных» (ч. 1 ст. 18.1 Федерального закона от 27.07.2006 №152-ФЗ «О персональных данных»); несоблюдение оператором требований по информированию лиц, осуществляющих обработку персональных данных без использования средств автоматизации (требований п. 6 постановления Правительства Российской Федерации от 15.09.2008 № 687).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власти. Так, в</w:t>
      </w:r>
      <w:r>
        <w:rPr>
          <w:sz w:val="28"/>
          <w:szCs w:val="28"/>
        </w:rPr>
        <w:t xml:space="preserve"> 1 полугодии</w:t>
      </w:r>
      <w:r>
        <w:rPr>
          <w:sz w:val="28"/>
          <w:szCs w:val="28"/>
        </w:rPr>
        <w:t xml:space="preserve"> 2019 года проведено 12 информационно-разъяснительных мероприятий.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информация по разъяснению законодательства РФ в установленной сфере, а также результаты контрольно-надзорной деятельности, содержащие сведения о выявляемых нарушениях, размещаются и постоянно обновляются на официальном сайте Управления - 66.rkn.gov.ru</w:t>
      </w:r>
      <w:r>
        <w:rPr>
          <w:sz w:val="28"/>
          <w:szCs w:val="28"/>
        </w:rPr>
        <w:t xml:space="preserve">.</w:t>
      </w:r>
    </w:p>
    <w:p>
      <w:pPr>
        <w:ind w:left="-566" w:firstLine="709"/>
        <w:jc w:val="both"/>
        <w:rPr>
          <w:rFonts w:eastAsia="Times New Roman"/>
          <w:color w:val="000000"/>
          <w:sz w:val="28"/>
          <w:szCs w:val="28"/>
        </w:rPr>
      </w:pPr>
    </w:p>
    <w:p>
      <w:pPr>
        <w:ind w:left="-56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связи.</w:t>
      </w:r>
    </w:p>
    <w:p>
      <w:pPr>
        <w:ind w:left="-566" w:firstLine="709"/>
        <w:jc w:val="both"/>
        <w:rPr>
          <w:b/>
          <w:sz w:val="16"/>
          <w:szCs w:val="16"/>
        </w:rPr>
      </w:pPr>
    </w:p>
    <w:p>
      <w:pPr>
        <w:ind w:firstLine="709"/>
        <w:jc w:val="both"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За отчетный период Управлением </w:t>
      </w:r>
      <w:r>
        <w:rPr>
          <w:sz w:val="28"/>
          <w:szCs w:val="28"/>
        </w:rPr>
        <w:t xml:space="preserve">Роскомнадзора</w:t>
      </w:r>
      <w:r>
        <w:rPr>
          <w:sz w:val="28"/>
          <w:szCs w:val="28"/>
        </w:rPr>
        <w:t xml:space="preserve"> по Уральскому федеральному округу выявлено 995 нарушений в сфере связи. Сведения о типах и количестве выявленных нарушений приведены в таблице.</w:t>
      </w:r>
    </w:p>
    <w:tbl>
      <w:tblPr>
        <w:tblW w:w="9545" w:type="dxa"/>
        <w:tblInd w:w="93" w:type="dxa"/>
        <w:tblLook w:val="04A0" w:firstRow="1" w:lastRow="0" w:firstColumn="1" w:lastColumn="0" w:noHBand="0" w:noVBand="1"/>
      </w:tblPr>
      <w:tblGrid>
        <w:gridCol w:w="724"/>
        <w:gridCol w:w="4961"/>
        <w:gridCol w:w="920"/>
        <w:gridCol w:w="1100"/>
        <w:gridCol w:w="880"/>
        <w:gridCol w:w="960"/>
      </w:tblGrid>
      <w:tr>
        <w:trPr>
          <w:trHeight w:val="50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vMerge w:val="restart"/>
            <w:noWrap/>
          </w:tcPr>
          <w:p>
            <w:pPr>
              <w:ind w:firstLine="709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№№ </w:t>
            </w:r>
            <w:r>
              <w:rPr>
                <w:rFonts w:eastAsia="Times New Roman"/>
                <w:b/>
                <w:color w:val="000000"/>
                <w:lang w:eastAsia="en-US"/>
              </w:rPr>
              <w:t xml:space="preserve">пп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61" w:type="dxa"/>
            <w:vAlign w:val="center"/>
            <w:vMerge w:val="restart"/>
            <w:noWrap/>
          </w:tcPr>
          <w:p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Наименование нарушений</w:t>
            </w:r>
          </w:p>
        </w:tc>
        <w:tc>
          <w:tcPr>
            <w:gridSpan w:val="2"/>
            <w:tcBorders>
              <w:left w:val="none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2020" w:type="dxa"/>
            <w:vAlign w:val="center"/>
          </w:tcPr>
          <w:p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Количество нарушений</w:t>
            </w:r>
          </w:p>
        </w:tc>
        <w:tc>
          <w:tcPr>
            <w:gridSpan w:val="2"/>
            <w:tcBorders>
              <w:left w:val="none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1840" w:type="dxa"/>
            <w:vAlign w:val="center"/>
          </w:tcPr>
          <w:p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Доля %</w:t>
            </w:r>
          </w:p>
        </w:tc>
      </w:tr>
      <w:tr>
        <w:trPr>
          <w:trHeight w:val="2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0" w:type="auto"/>
            <w:vAlign w:val="center"/>
            <w:vMerge w:val="continue"/>
          </w:tcPr>
          <w:p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61" w:type="dxa"/>
            <w:vAlign w:val="center"/>
            <w:vMerge w:val="continue"/>
          </w:tcPr>
          <w:p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20" w:type="dxa"/>
            <w:vAlign w:val="center"/>
          </w:tcPr>
          <w:p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2 кв. 2019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1100" w:type="dxa"/>
            <w:vAlign w:val="center"/>
          </w:tcPr>
          <w:p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6 мес. 2019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880" w:type="dxa"/>
            <w:vAlign w:val="center"/>
          </w:tcPr>
          <w:p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2 кв. 2019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60" w:type="dxa"/>
            <w:vAlign w:val="center"/>
          </w:tcPr>
          <w:p>
            <w:pPr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6 мес. 2019</w:t>
            </w:r>
          </w:p>
        </w:tc>
      </w:tr>
      <w:tr>
        <w:trPr>
          <w:trHeight w:val="840"/>
        </w:trPr>
        <w:tc>
          <w:tcPr>
            <w:tcBorders>
              <w:left w:val="single" w:sz="4" w:space="0" w:color="auto"/>
              <w:top w:val="none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noWrap/>
          </w:tcPr>
          <w:p>
            <w:pPr>
              <w:ind w:left="-725" w:firstLine="709"/>
              <w:jc w:val="center"/>
              <w:tabs>
                <w:tab w:val="left" w:pos="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4961" w:type="dxa"/>
          </w:tcPr>
          <w:p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2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193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110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378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38,3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6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38,0</w:t>
            </w:r>
          </w:p>
        </w:tc>
      </w:tr>
      <w:tr>
        <w:trPr>
          <w:trHeight w:val="542"/>
        </w:trPr>
        <w:tc>
          <w:tcPr>
            <w:tcBorders>
              <w:left w:val="single" w:sz="4" w:space="0" w:color="auto"/>
              <w:top w:val="none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noWrap/>
          </w:tcPr>
          <w:p>
            <w:pPr>
              <w:ind w:left="-725" w:firstLine="709"/>
              <w:jc w:val="center"/>
              <w:tabs>
                <w:tab w:val="left" w:pos="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2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4961" w:type="dxa"/>
          </w:tcPr>
          <w:p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Использование </w:t>
            </w:r>
            <w:r>
              <w:rPr>
                <w:rFonts w:eastAsia="Times New Roman"/>
                <w:color w:val="000000"/>
                <w:lang w:eastAsia="en-US"/>
              </w:rPr>
              <w:t xml:space="preserve">незарегистрированных</w:t>
            </w:r>
            <w:r>
              <w:rPr>
                <w:rFonts w:eastAsia="Times New Roman"/>
                <w:color w:val="000000"/>
                <w:lang w:eastAsia="en-US"/>
              </w:rPr>
              <w:t xml:space="preserve"> РЭС, ВЧУ гражданского назначения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2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192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110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379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38,1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6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38,1</w:t>
            </w:r>
          </w:p>
        </w:tc>
      </w:tr>
      <w:tr>
        <w:trPr>
          <w:trHeight w:val="1176"/>
        </w:trPr>
        <w:tc>
          <w:tcPr>
            <w:tcBorders>
              <w:left w:val="single" w:sz="4" w:space="0" w:color="auto"/>
              <w:top w:val="none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noWrap/>
          </w:tcPr>
          <w:p>
            <w:pPr>
              <w:ind w:left="-725" w:firstLine="709"/>
              <w:jc w:val="center"/>
              <w:tabs>
                <w:tab w:val="left" w:pos="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3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4961" w:type="dxa"/>
          </w:tcPr>
          <w:p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 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2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75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110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156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14,9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6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15,7</w:t>
            </w:r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none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noWrap/>
          </w:tcPr>
          <w:p>
            <w:pPr>
              <w:ind w:left="-725" w:firstLine="709"/>
              <w:jc w:val="center"/>
              <w:tabs>
                <w:tab w:val="left" w:pos="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4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4961" w:type="dxa"/>
          </w:tcPr>
          <w:p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Нарушение норм на параметры излучения (приема) РЭС и ВЧУ гражданского назначения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2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2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110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5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0,4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6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0,5</w:t>
            </w:r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none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noWrap/>
          </w:tcPr>
          <w:p>
            <w:pPr>
              <w:ind w:left="-725" w:firstLine="709"/>
              <w:jc w:val="center"/>
              <w:tabs>
                <w:tab w:val="left" w:pos="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5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4961" w:type="dxa"/>
          </w:tcPr>
          <w:p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Невыполнение в установленный срок предписания об устранении выявленного нарушения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2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110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0,0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6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0,1</w:t>
            </w:r>
          </w:p>
        </w:tc>
      </w:tr>
      <w:tr>
        <w:trPr>
          <w:trHeight w:val="208"/>
        </w:trPr>
        <w:tc>
          <w:tcPr>
            <w:tcBorders>
              <w:left w:val="single" w:sz="4" w:space="0" w:color="auto"/>
              <w:top w:val="none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noWrap/>
          </w:tcPr>
          <w:p>
            <w:pPr>
              <w:ind w:left="-725" w:firstLine="709"/>
              <w:jc w:val="center"/>
              <w:tabs>
                <w:tab w:val="left" w:pos="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6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4961" w:type="dxa"/>
          </w:tcPr>
          <w:p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Нарушение лицензионных условий 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2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3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110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5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0,6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6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0,5</w:t>
            </w:r>
          </w:p>
        </w:tc>
      </w:tr>
      <w:tr>
        <w:trPr>
          <w:trHeight w:val="347"/>
        </w:trPr>
        <w:tc>
          <w:tcPr>
            <w:tcBorders>
              <w:left w:val="single" w:sz="4" w:space="0" w:color="auto"/>
              <w:top w:val="none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noWrap/>
          </w:tcPr>
          <w:p>
            <w:pPr>
              <w:ind w:left="-725" w:firstLine="709"/>
              <w:jc w:val="center"/>
              <w:tabs>
                <w:tab w:val="left" w:pos="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7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4961" w:type="dxa"/>
          </w:tcPr>
          <w:p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Нарушение требований по внедрению системы оперативно-розыскных мероприятий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2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110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2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0,2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6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0,2</w:t>
            </w:r>
          </w:p>
        </w:tc>
      </w:tr>
      <w:tr>
        <w:trPr>
          <w:trHeight w:val="278"/>
        </w:trPr>
        <w:tc>
          <w:tcPr>
            <w:tcBorders>
              <w:left w:val="single" w:sz="4" w:space="0" w:color="auto"/>
              <w:top w:val="none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noWrap/>
          </w:tcPr>
          <w:p>
            <w:pPr>
              <w:ind w:left="-725" w:firstLine="709"/>
              <w:jc w:val="center"/>
              <w:tabs>
                <w:tab w:val="left" w:pos="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8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4961" w:type="dxa"/>
          </w:tcPr>
          <w:p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Нарушение правил оказания услуг связи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2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12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110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21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2,4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6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2,1</w:t>
            </w:r>
          </w:p>
        </w:tc>
      </w:tr>
      <w:tr>
        <w:trPr>
          <w:trHeight w:val="126"/>
        </w:trPr>
        <w:tc>
          <w:tcPr>
            <w:tcBorders>
              <w:left w:val="single" w:sz="4" w:space="0" w:color="auto"/>
              <w:top w:val="none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noWrap/>
          </w:tcPr>
          <w:p>
            <w:pPr>
              <w:ind w:left="-725" w:firstLine="709"/>
              <w:jc w:val="center"/>
              <w:tabs>
                <w:tab w:val="left" w:pos="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9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4961" w:type="dxa"/>
          </w:tcPr>
          <w:p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Оказание услуг связи без лицензии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2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110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2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0,2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6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0,2</w:t>
            </w:r>
          </w:p>
        </w:tc>
      </w:tr>
      <w:tr>
        <w:trPr>
          <w:trHeight w:val="630"/>
        </w:trPr>
        <w:tc>
          <w:tcPr>
            <w:tcBorders>
              <w:left w:val="single" w:sz="4" w:space="0" w:color="auto"/>
              <w:top w:val="none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noWrap/>
          </w:tcPr>
          <w:p>
            <w:pPr>
              <w:ind w:left="-725" w:firstLine="709"/>
              <w:jc w:val="center"/>
              <w:tabs>
                <w:tab w:val="left" w:pos="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10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4961" w:type="dxa"/>
          </w:tcPr>
          <w:p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Непредоставление</w:t>
            </w:r>
            <w:r>
              <w:rPr>
                <w:rFonts w:eastAsia="Times New Roman"/>
                <w:color w:val="000000"/>
                <w:lang w:eastAsia="en-US"/>
              </w:rPr>
              <w:t xml:space="preserve"> сведений о базе расчета обязательных отчислений в резерв универсального обслуживания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2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8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110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14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1,6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6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1,4</w:t>
            </w:r>
          </w:p>
        </w:tc>
      </w:tr>
      <w:tr>
        <w:trPr>
          <w:trHeight w:val="80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noWrap/>
          </w:tcPr>
          <w:p>
            <w:pPr>
              <w:ind w:left="-725" w:firstLine="709"/>
              <w:jc w:val="center"/>
              <w:tabs>
                <w:tab w:val="left" w:pos="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11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61" w:type="dxa"/>
          </w:tcPr>
          <w:p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Неограничение</w:t>
            </w:r>
            <w:r>
              <w:rPr>
                <w:rFonts w:eastAsia="Times New Roman"/>
                <w:color w:val="000000"/>
                <w:lang w:eastAsia="en-US"/>
              </w:rPr>
              <w:t xml:space="preserve"> доступа к информации, распространение которой в Российской Федерации запрещено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2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3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5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0,6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0,5</w:t>
            </w:r>
          </w:p>
        </w:tc>
      </w:tr>
      <w:tr>
        <w:trPr>
          <w:trHeight w:val="5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noWrap/>
          </w:tcPr>
          <w:p>
            <w:pPr>
              <w:ind w:left="-725" w:firstLine="709"/>
              <w:jc w:val="center"/>
              <w:tabs>
                <w:tab w:val="left" w:pos="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12</w:t>
            </w:r>
          </w:p>
        </w:tc>
        <w:tc>
          <w:tcPr>
            <w:tcBorders>
              <w:left w:val="none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61" w:type="dxa"/>
          </w:tcPr>
          <w:p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Непредоставление</w:t>
            </w:r>
            <w:r>
              <w:rPr>
                <w:rFonts w:eastAsia="Times New Roman"/>
                <w:color w:val="000000"/>
                <w:lang w:eastAsia="en-US"/>
              </w:rPr>
              <w:t xml:space="preserve"> или несвоевременное предоставление информации</w:t>
            </w:r>
          </w:p>
        </w:tc>
        <w:tc>
          <w:tcPr>
            <w:tcBorders>
              <w:left w:val="none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2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8</w:t>
            </w:r>
          </w:p>
        </w:tc>
        <w:tc>
          <w:tcPr>
            <w:tcBorders>
              <w:left w:val="none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8</w:t>
            </w:r>
          </w:p>
        </w:tc>
        <w:tc>
          <w:tcPr>
            <w:tcBorders>
              <w:left w:val="none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1,6</w:t>
            </w:r>
          </w:p>
        </w:tc>
        <w:tc>
          <w:tcPr>
            <w:tcBorders>
              <w:left w:val="none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0,8</w:t>
            </w:r>
          </w:p>
        </w:tc>
      </w:tr>
      <w:tr>
        <w:trPr>
          <w:trHeight w:val="875"/>
        </w:trPr>
        <w:tc>
          <w:tcPr>
            <w:tcBorders>
              <w:left w:val="single" w:sz="4" w:space="0" w:color="auto"/>
              <w:top w:val="none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noWrap/>
          </w:tcPr>
          <w:p>
            <w:pPr>
              <w:ind w:left="-725" w:firstLine="709"/>
              <w:jc w:val="center"/>
              <w:tabs>
                <w:tab w:val="left" w:pos="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13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4961" w:type="dxa"/>
          </w:tcPr>
          <w:p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Нарушение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2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110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4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0,2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6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0,4</w:t>
            </w:r>
          </w:p>
        </w:tc>
      </w:tr>
      <w:tr>
        <w:trPr>
          <w:trHeight w:val="1044"/>
        </w:trPr>
        <w:tc>
          <w:tcPr>
            <w:tcBorders>
              <w:left w:val="single" w:sz="4" w:space="0" w:color="auto"/>
              <w:top w:val="none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noWrap/>
          </w:tcPr>
          <w:p>
            <w:pPr>
              <w:ind w:left="-725" w:firstLine="709"/>
              <w:jc w:val="center"/>
              <w:tabs>
                <w:tab w:val="left" w:pos="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14</w:t>
            </w:r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4961" w:type="dxa"/>
          </w:tcPr>
          <w:p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Borders>
              <w:left w:val="single" w:sz="4" w:space="0" w:color="auto"/>
              <w:top w:val="none"/>
              <w:right w:val="single" w:sz="4" w:space="0" w:color="auto"/>
              <w:bottom w:val="single" w:sz="4" w:space="0" w:color="auto"/>
            </w:tcBorders>
            <w:tcW w:w="92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3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110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11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0,6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6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1,1</w:t>
            </w:r>
          </w:p>
        </w:tc>
      </w:tr>
      <w:tr>
        <w:trPr>
          <w:trHeight w:val="62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noWrap/>
          </w:tcPr>
          <w:p>
            <w:pPr>
              <w:ind w:left="-725" w:firstLine="709"/>
              <w:jc w:val="center"/>
              <w:tabs>
                <w:tab w:val="left" w:pos="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15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61" w:type="dxa"/>
            <w:vAlign w:val="center"/>
          </w:tcPr>
          <w:p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Нарушение обязательных требований при оказании универсальных услуг связи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2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2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0,2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0,2</w:t>
            </w:r>
          </w:p>
        </w:tc>
      </w:tr>
      <w:tr>
        <w:trPr>
          <w:trHeight w:val="8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noWrap/>
          </w:tcPr>
          <w:p>
            <w:pPr>
              <w:ind w:left="-725" w:firstLine="709"/>
              <w:jc w:val="center"/>
              <w:tabs>
                <w:tab w:val="left" w:pos="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16</w:t>
            </w:r>
          </w:p>
        </w:tc>
        <w:tc>
          <w:tcPr>
            <w:tcBorders>
              <w:left w:val="none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961" w:type="dxa"/>
            <w:vAlign w:val="bottom"/>
          </w:tcPr>
          <w:p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Несоблюдение нормативов частоты сбора письменной корреспонденции из почтовых ящиков, ее обмена, перевозки и доставки</w:t>
            </w:r>
          </w:p>
        </w:tc>
        <w:tc>
          <w:tcPr>
            <w:tcBorders>
              <w:left w:val="none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2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</w:t>
            </w:r>
          </w:p>
        </w:tc>
        <w:tc>
          <w:tcPr>
            <w:tcBorders>
              <w:left w:val="none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0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</w:t>
            </w:r>
          </w:p>
        </w:tc>
        <w:tc>
          <w:tcPr>
            <w:tcBorders>
              <w:left w:val="none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0,2</w:t>
            </w:r>
          </w:p>
        </w:tc>
        <w:tc>
          <w:tcPr>
            <w:tcBorders>
              <w:left w:val="none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6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0,1</w:t>
            </w:r>
          </w:p>
        </w:tc>
      </w:tr>
      <w:tr>
        <w:trPr>
          <w:trHeight w:val="859"/>
        </w:trPr>
        <w:tc>
          <w:tcPr>
            <w:tcBorders>
              <w:left w:val="single" w:sz="4" w:space="0" w:color="auto"/>
              <w:top w:val="none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noWrap/>
          </w:tcPr>
          <w:p>
            <w:pPr>
              <w:ind w:left="-725" w:firstLine="709"/>
              <w:jc w:val="center"/>
              <w:tabs>
                <w:tab w:val="left" w:pos="0"/>
              </w:tabs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17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4961" w:type="dxa"/>
            <w:vAlign w:val="bottom"/>
          </w:tcPr>
          <w:p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2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110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1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0,0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6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0,1</w:t>
            </w:r>
          </w:p>
        </w:tc>
      </w:tr>
      <w:tr>
        <w:trPr>
          <w:trHeight w:val="315"/>
        </w:trPr>
        <w:tc>
          <w:tcPr>
            <w:tcBorders>
              <w:left w:val="single" w:sz="4" w:space="0" w:color="auto"/>
              <w:top w:val="none"/>
              <w:right w:val="single" w:sz="4" w:space="0" w:color="auto"/>
              <w:bottom w:val="single" w:sz="4" w:space="0" w:color="auto"/>
            </w:tcBorders>
            <w:tcW w:w="724" w:type="dxa"/>
            <w:vAlign w:val="center"/>
            <w:noWrap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4961" w:type="dxa"/>
          </w:tcPr>
          <w:p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ИТОГО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2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504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110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995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88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100</w:t>
            </w:r>
          </w:p>
        </w:tc>
        <w:tc>
          <w:tcPr>
            <w:tcBorders>
              <w:left w:val="none"/>
              <w:top w:val="none"/>
              <w:right w:val="single" w:sz="4" w:space="0" w:color="auto"/>
              <w:bottom w:val="single" w:sz="4" w:space="0" w:color="auto"/>
            </w:tcBorders>
            <w:tcW w:w="960" w:type="dxa"/>
            <w:vAlign w:val="center"/>
            <w:noWrap/>
          </w:tcPr>
          <w:p>
            <w:pPr>
              <w:jc w:val="center"/>
              <w:spacing w:lineRule="auto" w:line="276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 xml:space="preserve">100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Типовыми нарушениями являются (количество нарушений составляет более 20%):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нарушение порядка использования радиочастотного спектра; использование радиочастотного спектра без специального разрешения, составляют 38,0%;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 xml:space="preserve">использование </w:t>
      </w:r>
      <w:r>
        <w:rPr>
          <w:sz w:val="28"/>
          <w:szCs w:val="28"/>
        </w:rPr>
        <w:t xml:space="preserve">незарегистрированных</w:t>
      </w:r>
      <w:r>
        <w:rPr>
          <w:sz w:val="28"/>
          <w:szCs w:val="28"/>
        </w:rPr>
        <w:t xml:space="preserve"> РЭС, ВЧУ гражданского назначения, составляют 38,1%.</w:t>
      </w:r>
    </w:p>
    <w:p>
      <w:pPr>
        <w:ind w:left="-566" w:firstLine="709"/>
        <w:jc w:val="both"/>
        <w:widowControl w:val="off"/>
        <w:rPr>
          <w:b/>
          <w:sz w:val="28"/>
          <w:szCs w:val="28"/>
        </w:rPr>
      </w:pPr>
    </w:p>
    <w:p>
      <w:pPr>
        <w:ind w:left="-566" w:firstLine="709"/>
        <w:jc w:val="both"/>
        <w:widowControl w:val="off"/>
        <w:rPr>
          <w:sz w:val="28"/>
          <w:szCs w:val="28"/>
        </w:rPr>
      </w:pPr>
      <w:r>
        <w:rPr>
          <w:b/>
          <w:sz w:val="28"/>
          <w:szCs w:val="28"/>
        </w:rPr>
        <w:t xml:space="preserve">В сфере массовых коммуникаций</w:t>
      </w:r>
      <w:r>
        <w:rPr>
          <w:sz w:val="28"/>
          <w:szCs w:val="28"/>
        </w:rPr>
        <w:t xml:space="preserve"> </w:t>
      </w:r>
    </w:p>
    <w:p>
      <w:pPr>
        <w:ind w:left="-566" w:firstLine="709"/>
        <w:jc w:val="both"/>
        <w:widowControl w:val="off"/>
        <w:rPr>
          <w:sz w:val="16"/>
          <w:szCs w:val="16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осуществления государственного контроля (надзора)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 в отчетный период Управлением возбуждено 121 дело об административных правонарушениях (62 дела во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квартале) из них: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- 65 (34 - во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квартале) дел в отношении электронных СМИ и вещателей;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- 56 (28 - во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квартале) дел в отношении печатных СМИ.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аналогичный период 2018 года возбуждено 78 дел об административных правонарушениях (39 во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квартале) из них: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- 72 (39 - во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квартале) дело в отношении электронных СМИ и вещателей;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 (0 - во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квартале) дел в отношении печатных СМИ.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нарушения распределились следующим образом:</w:t>
      </w:r>
    </w:p>
    <w:tbl>
      <w:tblPr>
        <w:tblW w:w="8505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244"/>
      </w:tblGrid>
      <w:tr>
        <w:trPr>
          <w:tblHeader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  <w:vAlign w:val="center"/>
          </w:tcPr>
          <w:p>
            <w:pPr>
              <w:jc w:val="center"/>
              <w:spacing w:lineRule="auto" w:line="19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Статья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  <w:vAlign w:val="center"/>
          </w:tcPr>
          <w:p>
            <w:pPr>
              <w:jc w:val="center"/>
              <w:spacing w:lineRule="auto" w:line="192"/>
              <w:widowControl w:val="off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Количество протоколов</w:t>
            </w: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за 2019 год </w:t>
            </w:r>
          </w:p>
          <w:p>
            <w:pPr>
              <w:jc w:val="center"/>
              <w:spacing w:lineRule="auto" w:line="192"/>
              <w:widowControl w:val="off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(2 квартал)</w:t>
            </w:r>
          </w:p>
        </w:tc>
      </w:tr>
      <w:t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ч. 2 ст. 14.1 КоАП РФ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(4)</w:t>
            </w:r>
          </w:p>
        </w:tc>
      </w:tr>
      <w:t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ч. 3 ст. 14.1 КоАП РФ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(10)</w:t>
            </w:r>
          </w:p>
        </w:tc>
      </w:tr>
      <w:t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ч. 1 ст. 13.21 КоАП РФ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(3)</w:t>
            </w:r>
          </w:p>
        </w:tc>
      </w:tr>
      <w:t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ч. 2 ст. 13.21 КоАП РФ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 (1)</w:t>
            </w:r>
          </w:p>
        </w:tc>
      </w:tr>
      <w:t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ч. 2.1 ст. 13.21 КоАП РФ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(0)</w:t>
            </w:r>
          </w:p>
        </w:tc>
      </w:tr>
      <w:t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ч. 3 ст. 13.21 КоАП РФ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(5)</w:t>
            </w:r>
          </w:p>
        </w:tc>
      </w:tr>
      <w:t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13.22 КоАП РФ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 (8)</w:t>
            </w:r>
          </w:p>
        </w:tc>
      </w:tr>
      <w:t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13.23 КоАП РФ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47 (25)</w:t>
            </w:r>
          </w:p>
        </w:tc>
      </w:tr>
      <w:t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ч. 1 ст. 19.5 КоАП РФ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(2)</w:t>
            </w:r>
          </w:p>
        </w:tc>
      </w:tr>
      <w:t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19.7 КоАП РФ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(2)</w:t>
            </w:r>
          </w:p>
        </w:tc>
      </w:tr>
      <w:t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ч. 2 ст. 13.15 КоАП РФ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(2)</w:t>
            </w:r>
          </w:p>
        </w:tc>
      </w:tr>
      <w:t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ч. 3 ст. 13.15 КоАП РФ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 (0)</w:t>
            </w:r>
          </w:p>
        </w:tc>
      </w:tr>
      <w:t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ч. 1 ст. 19.4 КоАП РФ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(0)</w:t>
            </w:r>
          </w:p>
        </w:tc>
      </w:tr>
      <w:t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61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ч. 1 ст. 5.5 КоАП РФ</w:t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244" w:type="dxa"/>
          </w:tcPr>
          <w:p>
            <w:pPr>
              <w:jc w:val="center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 (0)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типовым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нарушени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обязательного экземпляра документов – </w:t>
      </w:r>
      <w:r>
        <w:rPr>
          <w:sz w:val="28"/>
          <w:szCs w:val="28"/>
        </w:rPr>
        <w:t xml:space="preserve">38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% нарушений (</w:t>
      </w:r>
      <w:r>
        <w:rPr>
          <w:sz w:val="28"/>
          <w:szCs w:val="28"/>
        </w:rPr>
        <w:t xml:space="preserve">47</w:t>
      </w:r>
      <w:r>
        <w:rPr>
          <w:sz w:val="28"/>
          <w:szCs w:val="28"/>
        </w:rPr>
        <w:t xml:space="preserve"> случа</w:t>
      </w:r>
      <w:r>
        <w:rPr>
          <w:sz w:val="28"/>
          <w:szCs w:val="28"/>
        </w:rPr>
        <w:t xml:space="preserve">ев из 121</w:t>
      </w:r>
      <w:r>
        <w:rPr>
          <w:sz w:val="28"/>
          <w:szCs w:val="28"/>
        </w:rPr>
        <w:t xml:space="preserve">).</w:t>
      </w:r>
    </w:p>
    <w:sectPr>
      <w:pgSz w:w="11906" w:h="16838"/>
      <w:pgMar w:top="1134" w:right="850" w:bottom="1134" w:left="1701" w:gutter="0" w:header="708" w:footer="70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false"/>
    <m:lMargin m:val="0"/>
    <m:rMargin m:val="0"/>
    <m:defJc m:val="centerGroup"/>
    <m:wrapIndent m:val="1440"/>
    <m:intLim m:val="subSup"/>
    <m:naryLim m:val="undOvr"/>
  </m:math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Times New Roman" w:hAnsi="Times New Roman" w:cs="Times New Roman" w:eastAsia="Calibri"/>
      <w:sz w:val="24"/>
      <w:szCs w:val="24"/>
      <w:lang w:eastAsia="ru-RU"/>
    </w:rPr>
    <w:pPr>
      <w:spacing w:lineRule="auto" w:line="240" w:after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qFormat/>
    <w:uiPriority w:val="34"/>
    <w:rPr>
      <w:rFonts w:ascii="Calibri" w:hAnsi="Calibri" w:eastAsia="Times New Roman"/>
      <w:sz w:val="22"/>
      <w:szCs w:val="22"/>
    </w:rPr>
    <w:pPr>
      <w:contextualSpacing w:val="true"/>
      <w:ind w:left="720"/>
      <w:spacing w:lineRule="auto" w:line="276" w:after="200"/>
    </w:pPr>
  </w:style>
  <w:style w:type="paragraph" w:styleId="a4">
    <w:name w:val="Normal (Web)"/>
    <w:basedOn w:val="a"/>
    <w:unhideWhenUsed/>
    <w:rPr>
      <w:rFonts w:eastAsia="Times New Roman"/>
    </w:rPr>
    <w:pPr>
      <w:spacing w:after="100" w:afterAutospacing="1" w:before="100" w:beforeAutospacing="1"/>
    </w:pPr>
  </w:style>
  <w:style w:type="paragraph" w:styleId="ConsPlusNormal">
    <w:name w:val="ConsPlusNormal"/>
    <w:rPr>
      <w:rFonts w:ascii="Arial" w:hAnsi="Arial" w:cs="Arial" w:eastAsia="Calibri"/>
      <w:sz w:val="20"/>
      <w:szCs w:val="20"/>
      <w:lang w:eastAsia="ru-RU"/>
    </w:rPr>
    <w:pPr>
      <w:spacing w:lineRule="auto" w:line="240" w:after="0"/>
    </w:pPr>
  </w:style>
  <w:style w:type="paragraph" w:styleId="1">
    <w:name w:val="Абзац списка1"/>
    <w:basedOn w:val="a"/>
    <w:rPr>
      <w:rFonts w:eastAsia="Times New Roman"/>
    </w:rPr>
    <w:pPr>
      <w:contextualSpacing w:val="true"/>
      <w:ind w:left="720"/>
    </w:pPr>
  </w:style>
  <w:style w:type="paragraph" w:styleId="a5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styleId="a6">
    <w:name w:val="Текст выноски Знак"/>
    <w:basedOn w:val="a0"/>
    <w:uiPriority w:val="99"/>
    <w:semiHidden/>
    <w:rPr>
      <w:rFonts w:ascii="Tahoma" w:hAnsi="Tahoma" w:cs="Tahoma" w:eastAsia="Calibri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